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уметь анализировать, толковать и правильно применять правовые нормы о противодействии коррупционному поведению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«Право»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8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охрана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984.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Ведущие международно-правовые акты, устанавливающие права и свободы человека в информационной сфере (статья 19 Всеобщей декларации прав человека ООН, статьи 19 и 20 Международного пакта о гражданских и политических правах ООН, статья 10 Конвенции о защите прав человека и основных свобод (Совет Европы). Конституционные нормы, устанавливающие основные права человека и гражданина в Российской Федерации. Стратегия развития информационного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регулирования отношений в сфере информации, информационных технологий и защиты информации</w:t>
            </w:r>
          </w:p>
        </w:tc>
      </w:tr>
      <w:tr>
        <w:trPr>
          <w:trHeight w:hRule="exact" w:val="662.9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авторского права. Правовая охрана авторских прав в сфере инфор-матики. Охрана прав на программы и информационные системы. Правовая охрана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смежных прав. Право изготовителя баз данных. Патентное право.</w:t>
            </w:r>
          </w:p>
          <w:p>
            <w:pPr>
              <w:jc w:val="both"/>
              <w:spacing w:after="0" w:line="240" w:lineRule="auto"/>
              <w:rPr>
                <w:sz w:val="24"/>
                <w:szCs w:val="24"/>
              </w:rPr>
            </w:pPr>
            <w:r>
              <w:rPr>
                <w:rFonts w:ascii="Times New Roman" w:hAnsi="Times New Roman" w:cs="Times New Roman"/>
                <w:color w:val="#000000"/>
                <w:sz w:val="24"/>
                <w:szCs w:val="24"/>
              </w:rPr>
              <w:t> Имущественные и личные неимущественные права автора. Исключительное право на произведение и срок его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авторских и смежных прав в сфере информатики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основание правоотношений. Виды и структура правоотношений.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происхождения государства: теологическая, патриархальная, ирригационная, договорная, марксистская, теория насилия. Признаки государства.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отношений, связанных с использованием информационно- коммуникационных сетей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методы обеспечения информационной безопасности детей в сети Интернет. Понятие сети Интернет. Доменное имя. Правила создания и функционирования.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электронного документа. Электронная цифровая подпись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документооборота. Методы и средства создания и обра-ботки электронных документов. Требования к системам электронного документо-оборота. Особенности электронной цифровой подписи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обеспечения информационной безопасности в сфере информатики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безопасности. Основные направления защиты инфор- мационной сферы. Соотношение понятий «защита информации» и «охрана информации». Способы защиты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безопасности. Основные направления защиты инфор- мационной сферы. Соотношение понятий «защита информации» и «охрана инфор- мации». Способы защиты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Юридическая ответственность за правонарушения и преступления в информационной сфере.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Принципы уголовного права. Действие уголовного закона. Понятие преступления.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выдачи патентов на полезную модель: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2.	Порядок выдачи патентов на изобретение: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3.	Процедура регистрации договоров о предоставлении права на изобретения, полезные модели, промышленные образцы: особенности, правовые основания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регулирования отношений в сфере информации, информационных технологий и защиты информации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1.Правовая охрана авторских прав в сфере информатики</w:t>
            </w:r>
          </w:p>
          <w:p>
            <w:pPr>
              <w:jc w:val="left"/>
              <w:spacing w:after="0" w:line="240" w:lineRule="auto"/>
              <w:rPr>
                <w:sz w:val="24"/>
                <w:szCs w:val="24"/>
              </w:rPr>
            </w:pPr>
            <w:r>
              <w:rPr>
                <w:rFonts w:ascii="Times New Roman" w:hAnsi="Times New Roman" w:cs="Times New Roman"/>
                <w:color w:val="#000000"/>
                <w:sz w:val="24"/>
                <w:szCs w:val="24"/>
              </w:rPr>
              <w:t> 2.Правовая охрана смежных прав</w:t>
            </w:r>
          </w:p>
          <w:p>
            <w:pPr>
              <w:jc w:val="left"/>
              <w:spacing w:after="0" w:line="240" w:lineRule="auto"/>
              <w:rPr>
                <w:sz w:val="24"/>
                <w:szCs w:val="24"/>
              </w:rPr>
            </w:pPr>
            <w:r>
              <w:rPr>
                <w:rFonts w:ascii="Times New Roman" w:hAnsi="Times New Roman" w:cs="Times New Roman"/>
                <w:color w:val="#000000"/>
                <w:sz w:val="24"/>
                <w:szCs w:val="24"/>
              </w:rPr>
              <w:t> 3.Ответственность за нарушение авторских и смежных прав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авторских и смежных прав в сфере информатики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Правовая охрана авторских прав в сфере информатики</w:t>
            </w:r>
          </w:p>
          <w:p>
            <w:pPr>
              <w:jc w:val="left"/>
              <w:spacing w:after="0" w:line="240" w:lineRule="auto"/>
              <w:rPr>
                <w:sz w:val="24"/>
                <w:szCs w:val="24"/>
              </w:rPr>
            </w:pPr>
            <w:r>
              <w:rPr>
                <w:rFonts w:ascii="Times New Roman" w:hAnsi="Times New Roman" w:cs="Times New Roman"/>
                <w:color w:val="#000000"/>
                <w:sz w:val="24"/>
                <w:szCs w:val="24"/>
              </w:rPr>
              <w:t> 2.	Правовая охрана смежных прав</w:t>
            </w:r>
          </w:p>
          <w:p>
            <w:pPr>
              <w:jc w:val="left"/>
              <w:spacing w:after="0" w:line="240" w:lineRule="auto"/>
              <w:rPr>
                <w:sz w:val="24"/>
                <w:szCs w:val="24"/>
              </w:rPr>
            </w:pPr>
            <w:r>
              <w:rPr>
                <w:rFonts w:ascii="Times New Roman" w:hAnsi="Times New Roman" w:cs="Times New Roman"/>
                <w:color w:val="#000000"/>
                <w:sz w:val="24"/>
                <w:szCs w:val="24"/>
              </w:rPr>
              <w:t> 3.	Ответственность за нарушение авторских и смежных прав</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охрана прав на результаты интеллектуальной деятельности и средства индивидуализации в области информатики</w:t>
            </w:r>
          </w:p>
        </w:tc>
      </w:tr>
      <w:tr>
        <w:trPr>
          <w:trHeight w:hRule="exact" w:val="21.31518"/>
        </w:trPr>
        <w:tc>
          <w:tcPr>
            <w:tcW w:w="9640" w:type="dxa"/>
          </w:tcPr>
          <w:p/>
        </w:tc>
      </w:tr>
      <w:tr>
        <w:trPr>
          <w:trHeight w:hRule="exact" w:val="618.57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выдачи патентов на полезную модель: особенности, правовая база.</w:t>
            </w:r>
          </w:p>
          <w:p>
            <w:pPr>
              <w:jc w:val="left"/>
              <w:spacing w:after="0" w:line="240" w:lineRule="auto"/>
              <w:rPr>
                <w:sz w:val="24"/>
                <w:szCs w:val="24"/>
              </w:rPr>
            </w:pPr>
            <w:r>
              <w:rPr>
                <w:rFonts w:ascii="Times New Roman" w:hAnsi="Times New Roman" w:cs="Times New Roman"/>
                <w:color w:val="#000000"/>
                <w:sz w:val="24"/>
                <w:szCs w:val="24"/>
              </w:rPr>
              <w:t> 2.	Порядок выдачи патентов на изобретение: особенности, правовая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Процедура регистрации договоров о предоставлении права на изобретения, полезные модели, промышленные образцы: особенности, правовые основания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отношений, связанных с использованием информационно- коммуникационных сетей</w:t>
            </w:r>
          </w:p>
        </w:tc>
      </w:tr>
      <w:tr>
        <w:trPr>
          <w:trHeight w:hRule="exact" w:val="21.3150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2.	Информационное правонарушение</w:t>
            </w:r>
          </w:p>
          <w:p>
            <w:pPr>
              <w:jc w:val="left"/>
              <w:spacing w:after="0" w:line="240" w:lineRule="auto"/>
              <w:rPr>
                <w:sz w:val="24"/>
                <w:szCs w:val="24"/>
              </w:rPr>
            </w:pPr>
            <w:r>
              <w:rPr>
                <w:rFonts w:ascii="Times New Roman" w:hAnsi="Times New Roman" w:cs="Times New Roman"/>
                <w:color w:val="#000000"/>
                <w:sz w:val="24"/>
                <w:szCs w:val="24"/>
              </w:rPr>
              <w:t> 3.	Виды юридической ответственности за информационное правонарушение</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Информационно-коммуникационные сети, особенности работы с ними.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электронного документа. Электронная цифровая подпись</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электронного документооборота</w:t>
            </w:r>
          </w:p>
          <w:p>
            <w:pPr>
              <w:jc w:val="left"/>
              <w:spacing w:after="0" w:line="240" w:lineRule="auto"/>
              <w:rPr>
                <w:sz w:val="24"/>
                <w:szCs w:val="24"/>
              </w:rPr>
            </w:pPr>
            <w:r>
              <w:rPr>
                <w:rFonts w:ascii="Times New Roman" w:hAnsi="Times New Roman" w:cs="Times New Roman"/>
                <w:color w:val="#000000"/>
                <w:sz w:val="24"/>
                <w:szCs w:val="24"/>
              </w:rPr>
              <w:t> 2.Методы и средства создания и обработки электронных документов.</w:t>
            </w:r>
          </w:p>
          <w:p>
            <w:pPr>
              <w:jc w:val="left"/>
              <w:spacing w:after="0" w:line="240" w:lineRule="auto"/>
              <w:rPr>
                <w:sz w:val="24"/>
                <w:szCs w:val="24"/>
              </w:rPr>
            </w:pPr>
            <w:r>
              <w:rPr>
                <w:rFonts w:ascii="Times New Roman" w:hAnsi="Times New Roman" w:cs="Times New Roman"/>
                <w:color w:val="#000000"/>
                <w:sz w:val="24"/>
                <w:szCs w:val="24"/>
              </w:rPr>
              <w:t> 3.Особенности электронной цифровой подписи</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обеспечения информационной безопасности в сфере информатики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государственной политики в области информационной безопасности и органы ее осуществляющие</w:t>
            </w:r>
          </w:p>
          <w:p>
            <w:pPr>
              <w:jc w:val="left"/>
              <w:spacing w:after="0" w:line="240" w:lineRule="auto"/>
              <w:rPr>
                <w:sz w:val="24"/>
                <w:szCs w:val="24"/>
              </w:rPr>
            </w:pPr>
            <w:r>
              <w:rPr>
                <w:rFonts w:ascii="Times New Roman" w:hAnsi="Times New Roman" w:cs="Times New Roman"/>
                <w:color w:val="#000000"/>
                <w:sz w:val="24"/>
                <w:szCs w:val="24"/>
              </w:rPr>
              <w:t> 2.	Понятия противозаконной и вредной информации.</w:t>
            </w:r>
          </w:p>
          <w:p>
            <w:pPr>
              <w:jc w:val="left"/>
              <w:spacing w:after="0" w:line="240" w:lineRule="auto"/>
              <w:rPr>
                <w:sz w:val="24"/>
                <w:szCs w:val="24"/>
              </w:rPr>
            </w:pPr>
            <w:r>
              <w:rPr>
                <w:rFonts w:ascii="Times New Roman" w:hAnsi="Times New Roman" w:cs="Times New Roman"/>
                <w:color w:val="#000000"/>
                <w:sz w:val="24"/>
                <w:szCs w:val="24"/>
              </w:rPr>
              <w:t> 3.	Соотношение понятий «защита информации» и «охрана информации».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защита неприкосновенности частной жизни при автоматизированной обработке персональных данных. Информационная безопасность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Понятия противозаконной и вредной информации.</w:t>
            </w:r>
          </w:p>
          <w:p>
            <w:pPr>
              <w:jc w:val="left"/>
              <w:spacing w:after="0" w:line="240" w:lineRule="auto"/>
              <w:rPr>
                <w:sz w:val="24"/>
                <w:szCs w:val="24"/>
              </w:rPr>
            </w:pPr>
            <w:r>
              <w:rPr>
                <w:rFonts w:ascii="Times New Roman" w:hAnsi="Times New Roman" w:cs="Times New Roman"/>
                <w:color w:val="#000000"/>
                <w:sz w:val="24"/>
                <w:szCs w:val="24"/>
              </w:rPr>
              <w:t> 2.	Правовые методы обеспечения информационной безопасности детей в сети Интернет</w:t>
            </w:r>
          </w:p>
          <w:p>
            <w:pPr>
              <w:jc w:val="left"/>
              <w:spacing w:after="0" w:line="240" w:lineRule="auto"/>
              <w:rPr>
                <w:sz w:val="24"/>
                <w:szCs w:val="24"/>
              </w:rPr>
            </w:pPr>
            <w:r>
              <w:rPr>
                <w:rFonts w:ascii="Times New Roman" w:hAnsi="Times New Roman" w:cs="Times New Roman"/>
                <w:color w:val="#000000"/>
                <w:sz w:val="24"/>
                <w:szCs w:val="24"/>
              </w:rPr>
              <w:t> 3.	Федеральный закон от 29 декабря 2010 г. № 436-ФЗ «О защите детей от информации, причиняющей вред их здоровью и развитию».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Юридическая ответственность за правонарушения и преступления в информационной сфере.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Преступления против собственности. Преступления против жизни и здоровья. Экономические преступления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 / Иванов В.Г..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Шишулина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https://urait.ru/bcode/416228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2021-2022_ФГОС3++2021_Бак-ОФО-ПИ(21)_plx_Право</dc:title>
  <dc:creator>FastReport.NET</dc:creator>
</cp:coreProperties>
</file>